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2" w:rsidRPr="00CB09F9" w:rsidRDefault="00F26A72">
      <w:pPr>
        <w:pStyle w:val="ConsPlusTitle"/>
        <w:jc w:val="center"/>
      </w:pPr>
      <w:r w:rsidRPr="00CB09F9">
        <w:t>ПРАВИТЕЛЬСТВО РОССИЙСКОЙ ФЕДЕРАЦИИ</w:t>
      </w:r>
    </w:p>
    <w:p w:rsidR="00F26A72" w:rsidRPr="00CB09F9" w:rsidRDefault="00F26A72">
      <w:pPr>
        <w:pStyle w:val="ConsPlusTitle"/>
        <w:jc w:val="center"/>
      </w:pPr>
    </w:p>
    <w:p w:rsidR="00F26A72" w:rsidRPr="00CB09F9" w:rsidRDefault="00F26A72">
      <w:pPr>
        <w:pStyle w:val="ConsPlusTitle"/>
        <w:jc w:val="center"/>
      </w:pPr>
      <w:bookmarkStart w:id="0" w:name="_GoBack"/>
      <w:r w:rsidRPr="00CB09F9">
        <w:t>ПОСТАНОВЛЕНИЕ</w:t>
      </w:r>
    </w:p>
    <w:p w:rsidR="00F26A72" w:rsidRPr="00CB09F9" w:rsidRDefault="00F26A72">
      <w:pPr>
        <w:pStyle w:val="ConsPlusTitle"/>
        <w:jc w:val="center"/>
      </w:pPr>
      <w:r w:rsidRPr="00CB09F9">
        <w:t>от 19 августа 2011 г. N 694</w:t>
      </w:r>
    </w:p>
    <w:p w:rsidR="00F26A72" w:rsidRPr="00CB09F9" w:rsidRDefault="00F26A72">
      <w:pPr>
        <w:pStyle w:val="ConsPlusTitle"/>
        <w:jc w:val="center"/>
      </w:pPr>
    </w:p>
    <w:p w:rsidR="00F26A72" w:rsidRPr="00CB09F9" w:rsidRDefault="00F26A72">
      <w:pPr>
        <w:pStyle w:val="ConsPlusTitle"/>
        <w:jc w:val="center"/>
      </w:pPr>
      <w:r w:rsidRPr="00CB09F9">
        <w:t>ОБ УТВЕРЖДЕНИИ МЕТОДИКИ</w:t>
      </w:r>
    </w:p>
    <w:p w:rsidR="00F26A72" w:rsidRPr="00CB09F9" w:rsidRDefault="00F26A72">
      <w:pPr>
        <w:pStyle w:val="ConsPlusTitle"/>
        <w:jc w:val="center"/>
      </w:pPr>
      <w:r w:rsidRPr="00CB09F9">
        <w:t>ОСУЩЕСТВЛЕНИЯ МОНИТОРИНГА ПРАВОПРИМЕНЕНИЯ</w:t>
      </w:r>
    </w:p>
    <w:p w:rsidR="00F26A72" w:rsidRPr="00CB09F9" w:rsidRDefault="00F26A72">
      <w:pPr>
        <w:pStyle w:val="ConsPlusTitle"/>
        <w:jc w:val="center"/>
      </w:pPr>
      <w:r w:rsidRPr="00CB09F9">
        <w:t>В РОССИЙСКОЙ ФЕДЕРАЦИИ</w:t>
      </w:r>
    </w:p>
    <w:bookmarkEnd w:id="0"/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В соответствии с пунктом 8 Указа Президента Российской Федерации от 20 мая 2011 г. N 657 "О мониторинге </w:t>
      </w:r>
      <w:proofErr w:type="spellStart"/>
      <w:r w:rsidRPr="00CB09F9">
        <w:t>правоприменения</w:t>
      </w:r>
      <w:proofErr w:type="spellEnd"/>
      <w:r w:rsidRPr="00CB09F9">
        <w:t xml:space="preserve"> в Российской Федерации" Правительство Российской Федерации постановляет: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Утвердить прилагаемую методику осуществления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в Российской Федерации.</w:t>
      </w: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jc w:val="right"/>
      </w:pPr>
      <w:r w:rsidRPr="00CB09F9">
        <w:t>Председатель Правительства</w:t>
      </w:r>
    </w:p>
    <w:p w:rsidR="00F26A72" w:rsidRPr="00CB09F9" w:rsidRDefault="00F26A72">
      <w:pPr>
        <w:pStyle w:val="ConsPlusNormal"/>
        <w:jc w:val="right"/>
      </w:pPr>
      <w:r w:rsidRPr="00CB09F9">
        <w:t>Российской Федерации</w:t>
      </w:r>
    </w:p>
    <w:p w:rsidR="00F26A72" w:rsidRPr="00CB09F9" w:rsidRDefault="00F26A72">
      <w:pPr>
        <w:pStyle w:val="ConsPlusNormal"/>
        <w:jc w:val="right"/>
      </w:pPr>
      <w:r w:rsidRPr="00CB09F9">
        <w:t>В.ПУТИН</w:t>
      </w: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jc w:val="right"/>
      </w:pPr>
      <w:r w:rsidRPr="00CB09F9">
        <w:t>Утверждена</w:t>
      </w:r>
    </w:p>
    <w:p w:rsidR="00F26A72" w:rsidRPr="00CB09F9" w:rsidRDefault="00F26A72">
      <w:pPr>
        <w:pStyle w:val="ConsPlusNormal"/>
        <w:jc w:val="right"/>
      </w:pPr>
      <w:r w:rsidRPr="00CB09F9">
        <w:t>Постановлением Правительства</w:t>
      </w:r>
    </w:p>
    <w:p w:rsidR="00F26A72" w:rsidRPr="00CB09F9" w:rsidRDefault="00F26A72">
      <w:pPr>
        <w:pStyle w:val="ConsPlusNormal"/>
        <w:jc w:val="right"/>
      </w:pPr>
      <w:r w:rsidRPr="00CB09F9">
        <w:t>Российской Федерации</w:t>
      </w:r>
    </w:p>
    <w:p w:rsidR="00F26A72" w:rsidRPr="00CB09F9" w:rsidRDefault="00F26A72">
      <w:pPr>
        <w:pStyle w:val="ConsPlusNormal"/>
        <w:jc w:val="right"/>
      </w:pPr>
      <w:r w:rsidRPr="00CB09F9">
        <w:t>от 19 августа 2011 г. N 694</w:t>
      </w: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Title"/>
        <w:jc w:val="center"/>
      </w:pPr>
      <w:bookmarkStart w:id="1" w:name="P26"/>
      <w:bookmarkEnd w:id="1"/>
      <w:r w:rsidRPr="00CB09F9">
        <w:t>МЕТОДИКА</w:t>
      </w:r>
    </w:p>
    <w:p w:rsidR="00F26A72" w:rsidRPr="00CB09F9" w:rsidRDefault="00F26A72">
      <w:pPr>
        <w:pStyle w:val="ConsPlusTitle"/>
        <w:jc w:val="center"/>
      </w:pPr>
      <w:r w:rsidRPr="00CB09F9">
        <w:t>ОСУЩЕСТВЛЕНИЯ МОНИТОРИНГА ПРАВОПРИМЕНЕНИЯ</w:t>
      </w:r>
    </w:p>
    <w:p w:rsidR="00F26A72" w:rsidRPr="00CB09F9" w:rsidRDefault="00F26A72">
      <w:pPr>
        <w:pStyle w:val="ConsPlusTitle"/>
        <w:jc w:val="center"/>
      </w:pPr>
      <w:r w:rsidRPr="00CB09F9">
        <w:t>В РОССИЙСКОЙ ФЕДЕРАЦИИ</w:t>
      </w:r>
    </w:p>
    <w:p w:rsidR="00F26A72" w:rsidRPr="00CB09F9" w:rsidRDefault="00F26A72">
      <w:pPr>
        <w:pStyle w:val="ConsPlusNormal"/>
        <w:jc w:val="center"/>
      </w:pP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1. Настоящая методика устанавливает правила и определяет показатели осуществления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в Российской Федерации федеральными органами исполнительной власти и органами государственной власти субъектов Российской Федерации.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2. В соответствии с настоящей методикой проводятся текущий и оперативный виды мониторинга </w:t>
      </w:r>
      <w:proofErr w:type="spellStart"/>
      <w:r w:rsidRPr="00CB09F9">
        <w:t>правоприменения</w:t>
      </w:r>
      <w:proofErr w:type="spellEnd"/>
      <w:r w:rsidRPr="00CB09F9">
        <w:t>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Текущий мониторинг осуществляется на регулярной основе в отношении отрасли (</w:t>
      </w:r>
      <w:proofErr w:type="spellStart"/>
      <w:r w:rsidRPr="00CB09F9">
        <w:t>подотрасли</w:t>
      </w:r>
      <w:proofErr w:type="spellEnd"/>
      <w:r w:rsidRPr="00CB09F9">
        <w:t>) законодательства и группы нормативных правовых актов.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Оперативный мониторинг осуществляется в течение первого года действия нормативных правовых актов Российской Федерации, выполнения решений Конституционного Суда Российской Федерации и постановлений Европейского Суда по правам человека.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3. Мониторинг </w:t>
      </w:r>
      <w:proofErr w:type="spellStart"/>
      <w:r w:rsidRPr="00CB09F9">
        <w:t>правоприменения</w:t>
      </w:r>
      <w:proofErr w:type="spellEnd"/>
      <w:r w:rsidRPr="00CB09F9">
        <w:t xml:space="preserve"> включает в себя сбор, обобщение, анализ и оценку практики применения: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а) Конституции Российской Федерации;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б) федеральных конституционных законов;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в) федеральных законов;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д) указов Президента Российской Федерации;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е) постановлений Правительства Российской Федерации;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ж) нормативных правовых актов федеральных органов исполнительной власти, иных </w:t>
      </w:r>
      <w:r w:rsidRPr="00CB09F9">
        <w:lastRenderedPageBreak/>
        <w:t>государственных органов и организаций, издающих в соответствии с законодательством Российской Федерации нормативные правовые акты.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4.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5.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по вопросам выполнения решений Конституционного Суда Российской Федерации и постановлений Европейского Суда по правам человека обобщается, анализируется и оценивается практика выполнения постановлений и определений Конституционного Суда Российской Федерации и постановлений Европейского Суда по правам человека.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6.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используется: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а) практика судов общей юрисдикции и арбитражных судов;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F26A72" w:rsidRPr="00CB09F9" w:rsidRDefault="00F26A72">
      <w:pPr>
        <w:pStyle w:val="ConsPlusNormal"/>
        <w:ind w:firstLine="540"/>
        <w:jc w:val="both"/>
      </w:pPr>
      <w:bookmarkStart w:id="2" w:name="P47"/>
      <w:bookmarkEnd w:id="2"/>
      <w:proofErr w:type="gramStart"/>
      <w:r w:rsidRPr="00CB09F9"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F26A72" w:rsidRPr="00CB09F9" w:rsidRDefault="00F26A72">
      <w:pPr>
        <w:pStyle w:val="ConsPlusNormal"/>
        <w:ind w:firstLine="540"/>
        <w:jc w:val="both"/>
      </w:pPr>
      <w:r w:rsidRPr="00CB09F9">
        <w:t>г) информация, поступившая из общественных, научных, правозащитных и иных организаций;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д) информация, почерпнутая из средств массовой информации;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е) информация, поступившая от граждан;</w:t>
      </w:r>
    </w:p>
    <w:p w:rsidR="00F26A72" w:rsidRPr="00CB09F9" w:rsidRDefault="00F26A72">
      <w:pPr>
        <w:pStyle w:val="ConsPlusNormal"/>
        <w:ind w:firstLine="540"/>
        <w:jc w:val="both"/>
      </w:pPr>
      <w:bookmarkStart w:id="3" w:name="P51"/>
      <w:bookmarkEnd w:id="3"/>
      <w:r w:rsidRPr="00CB09F9">
        <w:t>ж) информация, поступившая из иных источников.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7.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помимо видов информации, указанных в подпунктах "в" - "ж" пункта 6 настоящей методики, могут быть </w:t>
      </w:r>
      <w:proofErr w:type="gramStart"/>
      <w:r w:rsidRPr="00CB09F9">
        <w:t>использованы</w:t>
      </w:r>
      <w:proofErr w:type="gramEnd"/>
      <w:r w:rsidRPr="00CB09F9">
        <w:t xml:space="preserve"> в том числе следующие виды информации: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а) статистическая информация, получаемая на основе статистических показателей и дополняемая отраслевой статистикой органов государственной власти и иных государственных органов;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б) социологическая информация, формируемая на основе социологических исследований.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8.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для обеспечения принятия (издания), изменения или признания </w:t>
      </w:r>
      <w:proofErr w:type="gramStart"/>
      <w:r w:rsidRPr="00CB09F9">
        <w:t>утратившими</w:t>
      </w:r>
      <w:proofErr w:type="gramEnd"/>
      <w:r w:rsidRPr="00CB09F9"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а) несоблюдение гарантированных прав, свобод и законных интересов человека и гражданина;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в)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е) наличие в нормативном правовом акте </w:t>
      </w:r>
      <w:proofErr w:type="spellStart"/>
      <w:r w:rsidRPr="00CB09F9">
        <w:t>коррупциогенных</w:t>
      </w:r>
      <w:proofErr w:type="spellEnd"/>
      <w:r w:rsidRPr="00CB09F9">
        <w:t xml:space="preserve"> факторов;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ж) неполнота в правовом регулировании общественных отношений;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з) коллизия норм права;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lastRenderedPageBreak/>
        <w:t>и) наличие ошибок юридико-технического характера;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л) искажение смысла положений нормативного правового акта при его применении;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м) неправомерные или необоснованные решения, действия (бездействие) при применении нормативного правового акта;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о) наличие (отсутствие) единообразной практики применения нормативных правовых актов;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п) количество и содержание заявлений по вопросам разъяснения нормативного правового акта;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9. В целях реализации антикоррупционной политики и устранения </w:t>
      </w:r>
      <w:proofErr w:type="spellStart"/>
      <w:r w:rsidRPr="00CB09F9">
        <w:t>коррупциогенных</w:t>
      </w:r>
      <w:proofErr w:type="spellEnd"/>
      <w:r w:rsidRPr="00CB09F9">
        <w:t xml:space="preserve"> факторов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для обеспечения принятия (издания), изменения или признания </w:t>
      </w:r>
      <w:proofErr w:type="gramStart"/>
      <w:r w:rsidRPr="00CB09F9">
        <w:t>утратившими</w:t>
      </w:r>
      <w:proofErr w:type="gramEnd"/>
      <w:r w:rsidRPr="00CB09F9"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а) несоблюдение пределов компетенции органа государственной власти, государственных органов и организаций при издании нормативного правового акта;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б) неправомерные или необоснованные решения, действия (бездействие) при применении нормативного правового акта;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в) наличие в нормативном правовом акте </w:t>
      </w:r>
      <w:proofErr w:type="spellStart"/>
      <w:r w:rsidRPr="00CB09F9">
        <w:t>коррупциогенных</w:t>
      </w:r>
      <w:proofErr w:type="spellEnd"/>
      <w:r w:rsidRPr="00CB09F9">
        <w:t xml:space="preserve"> факторов;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г) наиболее часто встречающиеся </w:t>
      </w:r>
      <w:proofErr w:type="spellStart"/>
      <w:r w:rsidRPr="00CB09F9">
        <w:t>коррупциогенные</w:t>
      </w:r>
      <w:proofErr w:type="spellEnd"/>
      <w:r w:rsidRPr="00CB09F9">
        <w:t xml:space="preserve"> факторы в нормативных правовых актах;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д) количество </w:t>
      </w:r>
      <w:proofErr w:type="spellStart"/>
      <w:r w:rsidRPr="00CB09F9">
        <w:t>коррупциогенных</w:t>
      </w:r>
      <w:proofErr w:type="spellEnd"/>
      <w:r w:rsidRPr="00CB09F9"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е) количество </w:t>
      </w:r>
      <w:proofErr w:type="spellStart"/>
      <w:r w:rsidRPr="00CB09F9">
        <w:t>коррупциогенных</w:t>
      </w:r>
      <w:proofErr w:type="spellEnd"/>
      <w:r w:rsidRPr="00CB09F9"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CB09F9">
        <w:t>коррупциогенных</w:t>
      </w:r>
      <w:proofErr w:type="spellEnd"/>
      <w:r w:rsidRPr="00CB09F9">
        <w:t xml:space="preserve"> факторов;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10.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CB09F9">
        <w:t>правоприменения</w:t>
      </w:r>
      <w:proofErr w:type="spellEnd"/>
      <w:r w:rsidRPr="00CB09F9"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б) наличие единой понятийно-терминологической системы в нормативных правовых актах;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в) наличие дублирующих норм права в нормативных правовых актах;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г) наличие противоречий в нормативных правовых актах, регулирующих однородные </w:t>
      </w:r>
      <w:r w:rsidRPr="00CB09F9">
        <w:lastRenderedPageBreak/>
        <w:t>отношения, принятых в разные периоды;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д) наличие ошибок юридико-технического характера в нормативных правовых актах;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F26A72" w:rsidRPr="00CB09F9" w:rsidRDefault="00F26A72">
      <w:pPr>
        <w:pStyle w:val="ConsPlusNormal"/>
        <w:ind w:firstLine="540"/>
        <w:jc w:val="both"/>
      </w:pPr>
      <w:r w:rsidRPr="00CB09F9">
        <w:t xml:space="preserve">11. При необходимости мониторинг </w:t>
      </w:r>
      <w:proofErr w:type="spellStart"/>
      <w:r w:rsidRPr="00CB09F9">
        <w:t>правоприменения</w:t>
      </w:r>
      <w:proofErr w:type="spellEnd"/>
      <w:r w:rsidRPr="00CB09F9">
        <w:t xml:space="preserve"> может быть осуществлен по дополнительным показателям, определяемым федеральными органами исполнительной власти и органами государственной власти субъектов Российской Федерации.</w:t>
      </w: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ind w:firstLine="540"/>
        <w:jc w:val="both"/>
      </w:pPr>
    </w:p>
    <w:p w:rsidR="00F26A72" w:rsidRPr="00CB09F9" w:rsidRDefault="00F26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DE5" w:rsidRPr="00CB09F9" w:rsidRDefault="00DC5DE5"/>
    <w:sectPr w:rsidR="00DC5DE5" w:rsidRPr="00CB09F9" w:rsidSect="00C3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2"/>
    <w:rsid w:val="00CB09F9"/>
    <w:rsid w:val="00DC5DE5"/>
    <w:rsid w:val="00F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6377</Words>
  <Characters>3635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2015-11-20T06:57:00Z</dcterms:created>
  <dcterms:modified xsi:type="dcterms:W3CDTF">2015-11-23T09:11:00Z</dcterms:modified>
</cp:coreProperties>
</file>